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B1EB2" w14:textId="62DA8F5E" w:rsidR="00244607" w:rsidRDefault="00244607" w:rsidP="005972C1">
      <w:pPr>
        <w:jc w:val="center"/>
        <w:rPr>
          <w:rFonts w:ascii="Arial Narrow" w:hAnsi="Arial Narrow"/>
          <w:b/>
          <w:bCs/>
        </w:rPr>
      </w:pPr>
    </w:p>
    <w:p w14:paraId="4947289A" w14:textId="5CE431E6" w:rsidR="005972C1" w:rsidRPr="00CF0D28" w:rsidRDefault="005972C1" w:rsidP="00CE69CD">
      <w:pPr>
        <w:ind w:left="708" w:hanging="708"/>
        <w:jc w:val="center"/>
        <w:rPr>
          <w:rFonts w:ascii="Arial Narrow" w:hAnsi="Arial Narrow"/>
          <w:b/>
          <w:bCs/>
        </w:rPr>
      </w:pPr>
      <w:r w:rsidRPr="00CF0D28">
        <w:rPr>
          <w:rFonts w:ascii="Arial Narrow" w:hAnsi="Arial Narrow"/>
          <w:b/>
          <w:bCs/>
        </w:rPr>
        <w:t>ALCALDÍA DE SAN JOSÉ DE CÚCUTA</w:t>
      </w:r>
    </w:p>
    <w:p w14:paraId="49ED6719" w14:textId="77777777" w:rsidR="005972C1" w:rsidRPr="00CF0D28" w:rsidRDefault="005972C1" w:rsidP="005972C1">
      <w:pPr>
        <w:jc w:val="center"/>
        <w:rPr>
          <w:rFonts w:ascii="Arial Narrow" w:hAnsi="Arial Narrow"/>
          <w:b/>
          <w:bCs/>
        </w:rPr>
      </w:pPr>
      <w:r w:rsidRPr="00CF0D28">
        <w:rPr>
          <w:rFonts w:ascii="Arial Narrow" w:hAnsi="Arial Narrow"/>
          <w:b/>
          <w:bCs/>
        </w:rPr>
        <w:t>SECRETARÍA DE HACIENDA MUNICIPAL</w:t>
      </w:r>
    </w:p>
    <w:p w14:paraId="1C712A72" w14:textId="25D0EC7A" w:rsidR="005972C1" w:rsidRPr="00CE69CD" w:rsidRDefault="005972C1" w:rsidP="005972C1">
      <w:pPr>
        <w:jc w:val="center"/>
        <w:rPr>
          <w:rFonts w:ascii="Arial Narrow" w:hAnsi="Arial Narrow"/>
          <w:b/>
          <w:bCs/>
        </w:rPr>
      </w:pPr>
      <w:r w:rsidRPr="00CE69CD">
        <w:rPr>
          <w:rFonts w:ascii="Arial Narrow" w:hAnsi="Arial Narrow"/>
          <w:b/>
          <w:bCs/>
        </w:rPr>
        <w:t>EDICTO EMPLAZATORIO FECHA 1</w:t>
      </w:r>
      <w:r w:rsidR="00521575" w:rsidRPr="00CE69CD">
        <w:rPr>
          <w:rFonts w:ascii="Arial Narrow" w:hAnsi="Arial Narrow"/>
          <w:b/>
          <w:bCs/>
        </w:rPr>
        <w:t>9</w:t>
      </w:r>
      <w:r w:rsidRPr="00CE69CD">
        <w:rPr>
          <w:rFonts w:ascii="Arial Narrow" w:hAnsi="Arial Narrow"/>
          <w:b/>
          <w:bCs/>
        </w:rPr>
        <w:t xml:space="preserve"> DE JUNIO DE 2026</w:t>
      </w:r>
    </w:p>
    <w:p w14:paraId="68107278" w14:textId="61B9F263" w:rsidR="005972C1" w:rsidRPr="00CF0D28" w:rsidRDefault="005972C1" w:rsidP="005972C1">
      <w:pPr>
        <w:jc w:val="center"/>
        <w:rPr>
          <w:rFonts w:ascii="Arial Narrow" w:hAnsi="Arial Narrow"/>
          <w:b/>
          <w:bCs/>
        </w:rPr>
      </w:pPr>
      <w:r w:rsidRPr="00CF0D28">
        <w:rPr>
          <w:rFonts w:ascii="Arial Narrow" w:hAnsi="Arial Narrow"/>
          <w:b/>
          <w:bCs/>
        </w:rPr>
        <w:t xml:space="preserve">LA SUBSECRETARIA DE COBRO COACTIVO </w:t>
      </w:r>
    </w:p>
    <w:p w14:paraId="314075D4" w14:textId="77777777" w:rsidR="0066248E" w:rsidRPr="00CF0D28" w:rsidRDefault="0066248E" w:rsidP="0066248E">
      <w:pPr>
        <w:jc w:val="both"/>
        <w:rPr>
          <w:rFonts w:ascii="Arial Narrow" w:hAnsi="Arial Narrow"/>
        </w:rPr>
      </w:pPr>
    </w:p>
    <w:p w14:paraId="1F10CC52" w14:textId="627B36B6" w:rsidR="00521575" w:rsidRPr="00CF0D28" w:rsidRDefault="0066248E" w:rsidP="0066248E">
      <w:pPr>
        <w:jc w:val="both"/>
        <w:rPr>
          <w:rFonts w:ascii="Arial Narrow" w:hAnsi="Arial Narrow"/>
        </w:rPr>
      </w:pPr>
      <w:r w:rsidRPr="00CF0D28">
        <w:rPr>
          <w:rFonts w:ascii="Arial Narrow" w:hAnsi="Arial Narrow"/>
        </w:rPr>
        <w:t>En uso de sus facultades constitucionales y legales, especialmente las conferidas por el artículo 29 de la Constitución Política de Colombia, el artículo 59 de la Ley 788 de 2002, el artículo 839-1 del Estatuto Tributario Nacional, los artículos 44 y 45 del Código de Procedimiento Administrativo y de lo Contencioso Administrativo (CPACA), el Estatuto Tributario Municipal de Cúcuta, y en estricto cumplimiento de lo consagrado en el Decreto Municipal No. 0023 de 2026 (que actualiza el Manual de Cobro Coactivo - Decreto 0560 de 2024), y</w:t>
      </w:r>
    </w:p>
    <w:p w14:paraId="21B92682" w14:textId="77777777" w:rsidR="00244607" w:rsidRPr="00CF0D28" w:rsidRDefault="00244607" w:rsidP="0066248E">
      <w:pPr>
        <w:jc w:val="both"/>
        <w:rPr>
          <w:rFonts w:ascii="Arial Narrow" w:hAnsi="Arial Narrow"/>
        </w:rPr>
      </w:pPr>
    </w:p>
    <w:p w14:paraId="47381C17" w14:textId="4E9A7858" w:rsidR="00244607" w:rsidRPr="00CF0D28" w:rsidRDefault="0066248E" w:rsidP="00244607">
      <w:pPr>
        <w:jc w:val="center"/>
        <w:rPr>
          <w:rFonts w:ascii="Arial Narrow" w:hAnsi="Arial Narrow"/>
          <w:b/>
          <w:bCs/>
        </w:rPr>
      </w:pPr>
      <w:r w:rsidRPr="00CF0D28">
        <w:rPr>
          <w:rFonts w:ascii="Arial Narrow" w:hAnsi="Arial Narrow"/>
          <w:b/>
          <w:bCs/>
        </w:rPr>
        <w:t>CONSIDERANDO:</w:t>
      </w:r>
    </w:p>
    <w:p w14:paraId="61F38823" w14:textId="15CC8436" w:rsidR="0066248E" w:rsidRPr="00CF0D28" w:rsidRDefault="0066248E" w:rsidP="0066248E">
      <w:pPr>
        <w:jc w:val="both"/>
        <w:rPr>
          <w:rFonts w:ascii="Arial Narrow" w:hAnsi="Arial Narrow"/>
        </w:rPr>
      </w:pPr>
      <w:r w:rsidRPr="00CF0D28">
        <w:rPr>
          <w:rFonts w:ascii="Arial Narrow" w:hAnsi="Arial Narrow"/>
        </w:rPr>
        <w:t>Que</w:t>
      </w:r>
      <w:r w:rsidR="004641C3">
        <w:rPr>
          <w:rFonts w:ascii="Arial Narrow" w:hAnsi="Arial Narrow"/>
        </w:rPr>
        <w:t>,</w:t>
      </w:r>
      <w:r w:rsidRPr="00CF0D28">
        <w:rPr>
          <w:rFonts w:ascii="Arial Narrow" w:hAnsi="Arial Narrow"/>
        </w:rPr>
        <w:t xml:space="preserve"> el artículo 29 de la Constitución Política consagra que el debido proceso se aplicará a toda clase de actuaciones judiciales y administrativas, asegurando los derechos de defensa, contradicción y seguridad jurídica de los administrados.</w:t>
      </w:r>
    </w:p>
    <w:p w14:paraId="56BA9622" w14:textId="14CA23B8" w:rsidR="0066248E" w:rsidRPr="00CF0D28" w:rsidRDefault="004641C3" w:rsidP="0066248E">
      <w:pPr>
        <w:jc w:val="both"/>
        <w:rPr>
          <w:rFonts w:ascii="Arial Narrow" w:hAnsi="Arial Narrow"/>
        </w:rPr>
      </w:pPr>
      <w:r w:rsidRPr="00CF0D28">
        <w:rPr>
          <w:rFonts w:ascii="Arial Narrow" w:hAnsi="Arial Narrow"/>
        </w:rPr>
        <w:t>Que</w:t>
      </w:r>
      <w:r>
        <w:rPr>
          <w:rFonts w:ascii="Arial Narrow" w:hAnsi="Arial Narrow"/>
        </w:rPr>
        <w:t xml:space="preserve">, </w:t>
      </w:r>
      <w:r w:rsidRPr="00CF0D28">
        <w:rPr>
          <w:rFonts w:ascii="Arial Narrow" w:hAnsi="Arial Narrow"/>
        </w:rPr>
        <w:t>de</w:t>
      </w:r>
      <w:r w:rsidR="0066248E" w:rsidRPr="00CF0D28">
        <w:rPr>
          <w:rFonts w:ascii="Arial Narrow" w:hAnsi="Arial Narrow"/>
        </w:rPr>
        <w:t xml:space="preserve"> conformidad con el artículo 3 del CPACA (Principio de Publicidad), la administración pública tiene la obligación legal de dar a conocer sus actuaciones y decisiones mediante mecanismos oficiales que garanticen el acceso oportuno a la información de los interesados.</w:t>
      </w:r>
    </w:p>
    <w:p w14:paraId="4F1E7403" w14:textId="4E2A412F" w:rsidR="0066248E" w:rsidRPr="00CF0D28" w:rsidRDefault="0066248E" w:rsidP="0066248E">
      <w:pPr>
        <w:jc w:val="both"/>
        <w:rPr>
          <w:rFonts w:ascii="Arial Narrow" w:hAnsi="Arial Narrow"/>
        </w:rPr>
      </w:pPr>
      <w:r w:rsidRPr="00CF0D28">
        <w:rPr>
          <w:rFonts w:ascii="Arial Narrow" w:hAnsi="Arial Narrow"/>
        </w:rPr>
        <w:t>Que</w:t>
      </w:r>
      <w:r w:rsidR="004641C3">
        <w:rPr>
          <w:rFonts w:ascii="Arial Narrow" w:hAnsi="Arial Narrow"/>
        </w:rPr>
        <w:t>,</w:t>
      </w:r>
      <w:r w:rsidRPr="00CF0D28">
        <w:rPr>
          <w:rFonts w:ascii="Arial Narrow" w:hAnsi="Arial Narrow"/>
        </w:rPr>
        <w:t xml:space="preserve"> de acuerdo con lo reglamentado en el Decreto Municipal No. 0023 de 2026, los depósitos judiciales que no hayan sido reclamados por su beneficiario dentro de los dos (2) años siguientes a la fecha de terminación definitiva de cualquier proceso de cobro coactivo, prescribirán de pleno derecho a favor del Municipio de San José de Cúcuta.</w:t>
      </w:r>
    </w:p>
    <w:p w14:paraId="5E5572E0" w14:textId="00BF83A7" w:rsidR="0066248E" w:rsidRPr="00CF0D28" w:rsidRDefault="0066248E" w:rsidP="0066248E">
      <w:pPr>
        <w:jc w:val="both"/>
        <w:rPr>
          <w:rFonts w:ascii="Arial Narrow" w:hAnsi="Arial Narrow"/>
        </w:rPr>
      </w:pPr>
      <w:r w:rsidRPr="00CF0D28">
        <w:rPr>
          <w:rFonts w:ascii="Arial Narrow" w:hAnsi="Arial Narrow"/>
        </w:rPr>
        <w:t>Que</w:t>
      </w:r>
      <w:r w:rsidR="004641C3">
        <w:rPr>
          <w:rFonts w:ascii="Arial Narrow" w:hAnsi="Arial Narrow"/>
        </w:rPr>
        <w:t>,</w:t>
      </w:r>
      <w:r w:rsidRPr="00CF0D28">
        <w:rPr>
          <w:rFonts w:ascii="Arial Narrow" w:hAnsi="Arial Narrow"/>
        </w:rPr>
        <w:t xml:space="preserve"> efectuada la depuración técnica e interna de los saldos de la entidad reflejada en el archivo REPORTE DE TITULOS 12-06-2026.xlsx, se consolidó un universo de 9</w:t>
      </w:r>
      <w:r w:rsidR="00521575" w:rsidRPr="00CF0D28">
        <w:rPr>
          <w:rFonts w:ascii="Arial Narrow" w:hAnsi="Arial Narrow"/>
        </w:rPr>
        <w:t>09</w:t>
      </w:r>
      <w:r w:rsidRPr="00CF0D28">
        <w:rPr>
          <w:rFonts w:ascii="Arial Narrow" w:hAnsi="Arial Narrow"/>
        </w:rPr>
        <w:t xml:space="preserve"> títulos judiciales que cumplen con la condición jurídica de abandono temporal superior a los dos (2) años, registrando permanencias que datan desde el año 2005.</w:t>
      </w:r>
    </w:p>
    <w:p w14:paraId="0F24E8C6" w14:textId="23795506" w:rsidR="0066248E" w:rsidRPr="00CF0D28" w:rsidRDefault="0066248E" w:rsidP="0066248E">
      <w:pPr>
        <w:jc w:val="both"/>
        <w:rPr>
          <w:rFonts w:ascii="Arial Narrow" w:hAnsi="Arial Narrow"/>
        </w:rPr>
      </w:pPr>
      <w:r w:rsidRPr="00CF0D28">
        <w:rPr>
          <w:rFonts w:ascii="Arial Narrow" w:hAnsi="Arial Narrow"/>
        </w:rPr>
        <w:t>Que</w:t>
      </w:r>
      <w:r w:rsidR="004641C3">
        <w:rPr>
          <w:rFonts w:ascii="Arial Narrow" w:hAnsi="Arial Narrow"/>
        </w:rPr>
        <w:t>,</w:t>
      </w:r>
      <w:r w:rsidRPr="00CF0D28">
        <w:rPr>
          <w:rFonts w:ascii="Arial Narrow" w:hAnsi="Arial Narrow"/>
        </w:rPr>
        <w:t xml:space="preserve"> como requisito obligatorio, previo e indispensable al traslado definitivo de dichos fondos a las arcas del Tesoro Municipal, se debe emplazar públicamente a los titulares mediante la fijación del presente Edicto en cartelera física y su publicación por una sola vez en la página web oficial del Municipio.</w:t>
      </w:r>
    </w:p>
    <w:p w14:paraId="36114018" w14:textId="77777777" w:rsidR="0066248E" w:rsidRPr="00CF0D28" w:rsidRDefault="0066248E" w:rsidP="0066248E">
      <w:pPr>
        <w:jc w:val="both"/>
        <w:rPr>
          <w:rFonts w:ascii="Arial Narrow" w:hAnsi="Arial Narrow"/>
        </w:rPr>
      </w:pPr>
    </w:p>
    <w:p w14:paraId="25CEB814" w14:textId="77777777" w:rsidR="005972C1" w:rsidRPr="00CF0D28" w:rsidRDefault="005972C1" w:rsidP="0066248E">
      <w:pPr>
        <w:jc w:val="both"/>
        <w:rPr>
          <w:rFonts w:ascii="Arial Narrow" w:hAnsi="Arial Narrow"/>
        </w:rPr>
      </w:pPr>
    </w:p>
    <w:p w14:paraId="2EC2FA08" w14:textId="77777777" w:rsidR="00521575" w:rsidRPr="00CF0D28" w:rsidRDefault="00521575" w:rsidP="0066248E">
      <w:pPr>
        <w:jc w:val="both"/>
        <w:rPr>
          <w:rFonts w:ascii="Arial Narrow" w:hAnsi="Arial Narrow"/>
        </w:rPr>
      </w:pPr>
    </w:p>
    <w:p w14:paraId="1602AEE7" w14:textId="77777777" w:rsidR="0066248E" w:rsidRPr="00CF0D28" w:rsidRDefault="0066248E" w:rsidP="0066248E">
      <w:pPr>
        <w:jc w:val="center"/>
        <w:rPr>
          <w:rFonts w:ascii="Arial Narrow" w:hAnsi="Arial Narrow"/>
          <w:b/>
          <w:bCs/>
        </w:rPr>
      </w:pPr>
      <w:r w:rsidRPr="00CF0D28">
        <w:rPr>
          <w:rFonts w:ascii="Arial Narrow" w:hAnsi="Arial Narrow"/>
          <w:b/>
          <w:bCs/>
        </w:rPr>
        <w:lastRenderedPageBreak/>
        <w:t>EMPLAZA:</w:t>
      </w:r>
    </w:p>
    <w:p w14:paraId="7395E013" w14:textId="07A3C4FD" w:rsidR="00521575" w:rsidRPr="00CF0D28" w:rsidRDefault="0066248E" w:rsidP="0066248E">
      <w:pPr>
        <w:jc w:val="both"/>
        <w:rPr>
          <w:rFonts w:ascii="Arial Narrow" w:hAnsi="Arial Narrow"/>
        </w:rPr>
      </w:pPr>
      <w:r w:rsidRPr="00CF0D28">
        <w:rPr>
          <w:rFonts w:ascii="Arial Narrow" w:hAnsi="Arial Narrow"/>
        </w:rPr>
        <w:t>A los deudores, ejecutados, beneficiarios y terceros legítimos interesados de los 9</w:t>
      </w:r>
      <w:r w:rsidR="00521575" w:rsidRPr="00CF0D28">
        <w:rPr>
          <w:rFonts w:ascii="Arial Narrow" w:hAnsi="Arial Narrow"/>
        </w:rPr>
        <w:t>09</w:t>
      </w:r>
      <w:r w:rsidRPr="00CF0D28">
        <w:rPr>
          <w:rFonts w:ascii="Arial Narrow" w:hAnsi="Arial Narrow"/>
        </w:rPr>
        <w:t xml:space="preserve"> depósitos judiciales que superan los dos (2) años de constitución sin haber sido reclamados. A continuación, se relacionan los títulos con mayor tiempo de permanencia registrados en el inventario de la tesorería:</w:t>
      </w:r>
    </w:p>
    <w:p w14:paraId="24F42E6D" w14:textId="46A5CB49" w:rsidR="00CF0D28" w:rsidRPr="00CF0D28" w:rsidRDefault="0066248E" w:rsidP="0066248E">
      <w:pPr>
        <w:jc w:val="both"/>
        <w:rPr>
          <w:rFonts w:ascii="Arial Narrow" w:hAnsi="Arial Narrow"/>
        </w:rPr>
      </w:pPr>
      <w:r w:rsidRPr="00CF0D28">
        <w:rPr>
          <w:rFonts w:ascii="Arial Narrow" w:hAnsi="Arial Narrow"/>
          <w:b/>
          <w:bCs/>
        </w:rPr>
        <w:t>NOTA DE ACCESO GENERAL:</w:t>
      </w:r>
      <w:r w:rsidRPr="00CF0D28">
        <w:rPr>
          <w:rFonts w:ascii="Arial Narrow" w:hAnsi="Arial Narrow"/>
        </w:rPr>
        <w:t xml:space="preserve"> El listado completo que comprende la totalidad de los 9</w:t>
      </w:r>
      <w:r w:rsidR="00521575" w:rsidRPr="00CF0D28">
        <w:rPr>
          <w:rFonts w:ascii="Arial Narrow" w:hAnsi="Arial Narrow"/>
        </w:rPr>
        <w:t>09</w:t>
      </w:r>
      <w:r w:rsidRPr="00CF0D28">
        <w:rPr>
          <w:rFonts w:ascii="Arial Narrow" w:hAnsi="Arial Narrow"/>
        </w:rPr>
        <w:t xml:space="preserve"> títulos judiciales con más de dos años de vencimiento, identificando el radicado de origen, valor exacto, identificación y nombres de las partes, se encuentra publicado en formato digital e interactivo adjunto al pie de este documento en el portal web institucional de la Alcaldía.</w:t>
      </w:r>
    </w:p>
    <w:p w14:paraId="721E3023" w14:textId="77777777" w:rsidR="0066248E" w:rsidRPr="00CF0D28" w:rsidRDefault="0066248E" w:rsidP="0066248E">
      <w:pPr>
        <w:jc w:val="center"/>
        <w:rPr>
          <w:rFonts w:ascii="Arial Narrow" w:hAnsi="Arial Narrow"/>
          <w:b/>
          <w:bCs/>
        </w:rPr>
      </w:pPr>
      <w:r w:rsidRPr="00CF0D28">
        <w:rPr>
          <w:rFonts w:ascii="Arial Narrow" w:hAnsi="Arial Narrow"/>
          <w:b/>
          <w:bCs/>
        </w:rPr>
        <w:t>TÉRMINO DE COMPARECENCIA Y ADVERTENCIA LEGAL:</w:t>
      </w:r>
    </w:p>
    <w:p w14:paraId="0B2994FF" w14:textId="77777777" w:rsidR="0066248E" w:rsidRPr="00CF0D28" w:rsidRDefault="0066248E" w:rsidP="0066248E">
      <w:pPr>
        <w:jc w:val="both"/>
        <w:rPr>
          <w:rFonts w:ascii="Arial Narrow" w:hAnsi="Arial Narrow"/>
        </w:rPr>
      </w:pPr>
      <w:r w:rsidRPr="00CF0D28">
        <w:rPr>
          <w:rFonts w:ascii="Arial Narrow" w:hAnsi="Arial Narrow"/>
        </w:rPr>
        <w:t>Los interesados disponen de un término improrrogable de veinte (20) días hábiles, contados a partir del día hábil siguiente a la fecha de fijación y publicación del presente Edicto en la página web institucional, para presentarse formalmente ante esta dependencia con el propósito de radicar la solicitud de devolución de títulos debidamente soportada con los documentos exigidos por la ley (identificación, RUT, certificación bancaria y poder autenticado si actúa mediante apoderado).</w:t>
      </w:r>
    </w:p>
    <w:p w14:paraId="691A0DB5" w14:textId="6174987E" w:rsidR="0066248E" w:rsidRDefault="0066248E" w:rsidP="0066248E">
      <w:pPr>
        <w:jc w:val="both"/>
        <w:rPr>
          <w:rFonts w:ascii="Arial Narrow" w:hAnsi="Arial Narrow"/>
        </w:rPr>
      </w:pPr>
      <w:r w:rsidRPr="00CF0D28">
        <w:rPr>
          <w:rFonts w:ascii="Arial Narrow" w:hAnsi="Arial Narrow"/>
          <w:b/>
          <w:bCs/>
        </w:rPr>
        <w:t>APERCIBIMIENTO:</w:t>
      </w:r>
      <w:r w:rsidRPr="00CF0D28">
        <w:rPr>
          <w:rFonts w:ascii="Arial Narrow" w:hAnsi="Arial Narrow"/>
        </w:rPr>
        <w:t xml:space="preserve"> Si una vez vencido el término de veinte (20) días hábiles fijado en este Edicto, el beneficiario del depósito o su apoderado NO se presenta a realizar la correspondiente reclamación, se entenderá por ministerio de la ley que los recursos han prescrito de pleno derecho a favor del Municipio de San José de Cúcuta. En consecuencia, se ordenará a la Dirección Financiera / Tesorería el traslado definitivo e inmediato de los fondos al presupuesto de ingresos del Municipio, extinguiéndose de forma definitiva cualquier derecho de reclamación posterior.</w:t>
      </w:r>
    </w:p>
    <w:p w14:paraId="2EF0E006" w14:textId="77777777" w:rsidR="00CF0D28" w:rsidRPr="00CF0D28" w:rsidRDefault="00CF0D28" w:rsidP="0066248E">
      <w:pPr>
        <w:jc w:val="both"/>
        <w:rPr>
          <w:rFonts w:ascii="Arial Narrow" w:hAnsi="Arial Narrow"/>
        </w:rPr>
      </w:pPr>
    </w:p>
    <w:p w14:paraId="6CDF2416" w14:textId="77777777" w:rsidR="0066248E" w:rsidRPr="00CF0D28" w:rsidRDefault="0066248E" w:rsidP="0066248E">
      <w:pPr>
        <w:jc w:val="center"/>
        <w:rPr>
          <w:rFonts w:ascii="Arial Narrow" w:hAnsi="Arial Narrow"/>
          <w:b/>
          <w:bCs/>
        </w:rPr>
      </w:pPr>
      <w:r w:rsidRPr="00CF0D28">
        <w:rPr>
          <w:rFonts w:ascii="Arial Narrow" w:hAnsi="Arial Narrow"/>
          <w:b/>
          <w:bCs/>
        </w:rPr>
        <w:t>CONSTANCIA DE FIJACIÓN:</w:t>
      </w:r>
    </w:p>
    <w:p w14:paraId="477841EC" w14:textId="05F0FBBD" w:rsidR="0066248E" w:rsidRPr="00CF0D28" w:rsidRDefault="0066248E" w:rsidP="0066248E">
      <w:pPr>
        <w:jc w:val="both"/>
        <w:rPr>
          <w:rFonts w:ascii="Arial Narrow" w:hAnsi="Arial Narrow"/>
        </w:rPr>
      </w:pPr>
      <w:r w:rsidRPr="00CF0D28">
        <w:rPr>
          <w:rFonts w:ascii="Arial Narrow" w:hAnsi="Arial Narrow"/>
        </w:rPr>
        <w:t>Para garantizar los principios de publicidad y debido proceso, el presente Edicto se FIJA en las carteleras oficiales de la Subsecretaría de Cobro Coactivo y se PUBLICA de manera virtual en la página web oficial de la Alcaldía de San José de Cúcuta (</w:t>
      </w:r>
      <w:hyperlink r:id="rId6" w:history="1">
        <w:r w:rsidR="00CE69CD" w:rsidRPr="00584117">
          <w:rPr>
            <w:rStyle w:val="Hipervnculo"/>
            <w:rFonts w:ascii="Arial Narrow" w:hAnsi="Arial Narrow"/>
          </w:rPr>
          <w:t>www.cucuta.gov.co</w:t>
        </w:r>
      </w:hyperlink>
      <w:r w:rsidR="00CE69CD">
        <w:rPr>
          <w:rFonts w:ascii="Arial Narrow" w:hAnsi="Arial Narrow"/>
        </w:rPr>
        <w:t xml:space="preserve"> </w:t>
      </w:r>
      <w:r w:rsidRPr="00CF0D28">
        <w:rPr>
          <w:rFonts w:ascii="Arial Narrow" w:hAnsi="Arial Narrow"/>
        </w:rPr>
        <w:t>) hoy, 1</w:t>
      </w:r>
      <w:r w:rsidR="00244607" w:rsidRPr="00CF0D28">
        <w:rPr>
          <w:rFonts w:ascii="Arial Narrow" w:hAnsi="Arial Narrow"/>
        </w:rPr>
        <w:t>9</w:t>
      </w:r>
      <w:r w:rsidRPr="00CF0D28">
        <w:rPr>
          <w:rFonts w:ascii="Arial Narrow" w:hAnsi="Arial Narrow"/>
        </w:rPr>
        <w:t xml:space="preserve"> de junio de 2026, siendo las 08:00 a.m.</w:t>
      </w:r>
    </w:p>
    <w:p w14:paraId="6B406FE5" w14:textId="77777777" w:rsidR="00244607" w:rsidRDefault="00244607" w:rsidP="0066248E">
      <w:pPr>
        <w:jc w:val="both"/>
        <w:rPr>
          <w:rFonts w:ascii="Arial Narrow" w:hAnsi="Arial Narrow"/>
        </w:rPr>
      </w:pPr>
    </w:p>
    <w:p w14:paraId="48266758" w14:textId="77777777" w:rsidR="00CF0D28" w:rsidRPr="00CF0D28" w:rsidRDefault="00CF0D28" w:rsidP="0066248E">
      <w:pPr>
        <w:jc w:val="both"/>
        <w:rPr>
          <w:rFonts w:ascii="Arial Narrow" w:hAnsi="Arial Narrow"/>
        </w:rPr>
      </w:pPr>
    </w:p>
    <w:p w14:paraId="14C36B04" w14:textId="5D7825E1" w:rsidR="00244607" w:rsidRPr="00CF0D28" w:rsidRDefault="0066248E" w:rsidP="00244607">
      <w:pPr>
        <w:spacing w:after="0"/>
        <w:jc w:val="center"/>
        <w:rPr>
          <w:rFonts w:ascii="Arial Narrow" w:hAnsi="Arial Narrow"/>
          <w:b/>
          <w:bCs/>
        </w:rPr>
      </w:pPr>
      <w:r w:rsidRPr="00CF0D28">
        <w:rPr>
          <w:rFonts w:ascii="Arial Narrow" w:hAnsi="Arial Narrow"/>
          <w:b/>
          <w:bCs/>
        </w:rPr>
        <w:t>_________________________________________________</w:t>
      </w:r>
      <w:r w:rsidRPr="00CF0D28">
        <w:rPr>
          <w:rFonts w:ascii="Arial Narrow" w:hAnsi="Arial Narrow"/>
          <w:b/>
          <w:bCs/>
        </w:rPr>
        <w:br/>
      </w:r>
      <w:r w:rsidR="00244607" w:rsidRPr="00CF0D28">
        <w:rPr>
          <w:rFonts w:ascii="Arial Narrow" w:hAnsi="Arial Narrow"/>
          <w:b/>
          <w:bCs/>
        </w:rPr>
        <w:t>MILENA FUENTES MARTINEZ</w:t>
      </w:r>
    </w:p>
    <w:p w14:paraId="27ED3658" w14:textId="77777777" w:rsidR="00244607" w:rsidRPr="00CF0D28" w:rsidRDefault="00244607" w:rsidP="00244607">
      <w:pPr>
        <w:spacing w:after="0"/>
        <w:jc w:val="center"/>
        <w:rPr>
          <w:rFonts w:ascii="Arial Narrow" w:hAnsi="Arial Narrow"/>
          <w:b/>
          <w:bCs/>
        </w:rPr>
      </w:pPr>
      <w:r w:rsidRPr="00CF0D28">
        <w:rPr>
          <w:rFonts w:ascii="Arial Narrow" w:hAnsi="Arial Narrow"/>
          <w:b/>
          <w:bCs/>
        </w:rPr>
        <w:t xml:space="preserve">SUBSECRETARIA DE COBRO COACTIVO </w:t>
      </w:r>
    </w:p>
    <w:p w14:paraId="524AA928" w14:textId="77777777" w:rsidR="00244607" w:rsidRPr="00CF0D28" w:rsidRDefault="00244607" w:rsidP="00244607">
      <w:pPr>
        <w:spacing w:after="0"/>
        <w:jc w:val="center"/>
        <w:rPr>
          <w:rFonts w:ascii="Arial Narrow" w:hAnsi="Arial Narrow"/>
          <w:b/>
          <w:bCs/>
        </w:rPr>
      </w:pPr>
      <w:r w:rsidRPr="00CF0D28">
        <w:rPr>
          <w:rFonts w:ascii="Arial Narrow" w:hAnsi="Arial Narrow"/>
          <w:b/>
          <w:bCs/>
        </w:rPr>
        <w:t xml:space="preserve">SECRETARIA DE HACIENDA </w:t>
      </w:r>
    </w:p>
    <w:p w14:paraId="076A792F" w14:textId="15483F8C" w:rsidR="00244607" w:rsidRPr="00CF0D28" w:rsidRDefault="00244607" w:rsidP="00244607">
      <w:pPr>
        <w:spacing w:after="0"/>
        <w:jc w:val="center"/>
        <w:rPr>
          <w:rFonts w:ascii="Arial Narrow" w:hAnsi="Arial Narrow"/>
          <w:b/>
          <w:bCs/>
        </w:rPr>
      </w:pPr>
    </w:p>
    <w:sectPr w:rsidR="00244607" w:rsidRPr="00CF0D2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E478D" w14:textId="77777777" w:rsidR="009C5B4B" w:rsidRDefault="009C5B4B" w:rsidP="00244607">
      <w:pPr>
        <w:spacing w:after="0" w:line="240" w:lineRule="auto"/>
      </w:pPr>
      <w:r>
        <w:separator/>
      </w:r>
    </w:p>
  </w:endnote>
  <w:endnote w:type="continuationSeparator" w:id="0">
    <w:p w14:paraId="0B232245" w14:textId="77777777" w:rsidR="009C5B4B" w:rsidRDefault="009C5B4B" w:rsidP="00244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FB593" w14:textId="77777777" w:rsidR="009C5B4B" w:rsidRDefault="009C5B4B" w:rsidP="00244607">
      <w:pPr>
        <w:spacing w:after="0" w:line="240" w:lineRule="auto"/>
      </w:pPr>
      <w:r>
        <w:separator/>
      </w:r>
    </w:p>
  </w:footnote>
  <w:footnote w:type="continuationSeparator" w:id="0">
    <w:p w14:paraId="4193A748" w14:textId="77777777" w:rsidR="009C5B4B" w:rsidRDefault="009C5B4B" w:rsidP="00244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A7810" w14:textId="3E5F92CC" w:rsidR="00244607" w:rsidRDefault="00244607">
    <w:pPr>
      <w:pStyle w:val="Encabezado"/>
    </w:pPr>
    <w:r>
      <w:rPr>
        <w:noProof/>
      </w:rPr>
      <w:drawing>
        <wp:anchor distT="0" distB="0" distL="114300" distR="114300" simplePos="0" relativeHeight="251659264" behindDoc="1" locked="0" layoutInCell="1" allowOverlap="1" wp14:anchorId="78B05BE2" wp14:editId="473F3D13">
          <wp:simplePos x="0" y="0"/>
          <wp:positionH relativeFrom="page">
            <wp:posOffset>-160911</wp:posOffset>
          </wp:positionH>
          <wp:positionV relativeFrom="paragraph">
            <wp:posOffset>-583285</wp:posOffset>
          </wp:positionV>
          <wp:extent cx="7772400" cy="10058038"/>
          <wp:effectExtent l="0" t="0" r="0" b="635"/>
          <wp:wrapNone/>
          <wp:docPr id="920175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7594" name="Imagen 9201759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038"/>
                  </a:xfrm>
                  <a:prstGeom prst="rect">
                    <a:avLst/>
                  </a:prstGeom>
                </pic:spPr>
              </pic:pic>
            </a:graphicData>
          </a:graphic>
          <wp14:sizeRelH relativeFrom="page">
            <wp14:pctWidth>0</wp14:pctWidth>
          </wp14:sizeRelH>
          <wp14:sizeRelV relativeFrom="page">
            <wp14:pctHeight>0</wp14:pctHeight>
          </wp14:sizeRelV>
        </wp:anchor>
      </w:drawing>
    </w:r>
  </w:p>
  <w:p w14:paraId="63E085C9" w14:textId="1B3AEB3F" w:rsidR="00244607" w:rsidRDefault="00244607">
    <w:pPr>
      <w:pStyle w:val="Encabezado"/>
    </w:pPr>
  </w:p>
  <w:p w14:paraId="15F73572" w14:textId="2BB0A5C3" w:rsidR="00244607" w:rsidRDefault="0024460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8E"/>
    <w:rsid w:val="00221B8D"/>
    <w:rsid w:val="00244607"/>
    <w:rsid w:val="003613C1"/>
    <w:rsid w:val="004641C3"/>
    <w:rsid w:val="00521575"/>
    <w:rsid w:val="005972C1"/>
    <w:rsid w:val="0066248E"/>
    <w:rsid w:val="007C3F49"/>
    <w:rsid w:val="009C5B4B"/>
    <w:rsid w:val="00A809E3"/>
    <w:rsid w:val="00AA2411"/>
    <w:rsid w:val="00BC4539"/>
    <w:rsid w:val="00C46838"/>
    <w:rsid w:val="00C875A2"/>
    <w:rsid w:val="00CE69CD"/>
    <w:rsid w:val="00CF0D28"/>
    <w:rsid w:val="00E033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792D"/>
  <w15:chartTrackingRefBased/>
  <w15:docId w15:val="{5161C3F3-D68B-CF42-9A87-4E35AC47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2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2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24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24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24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248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248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248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248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4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4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4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4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4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4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4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4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48E"/>
    <w:rPr>
      <w:rFonts w:eastAsiaTheme="majorEastAsia" w:cstheme="majorBidi"/>
      <w:color w:val="272727" w:themeColor="text1" w:themeTint="D8"/>
    </w:rPr>
  </w:style>
  <w:style w:type="paragraph" w:styleId="Ttulo">
    <w:name w:val="Title"/>
    <w:basedOn w:val="Normal"/>
    <w:next w:val="Normal"/>
    <w:link w:val="TtuloCar"/>
    <w:uiPriority w:val="10"/>
    <w:qFormat/>
    <w:rsid w:val="00662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24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4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24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48E"/>
    <w:pPr>
      <w:spacing w:before="160"/>
      <w:jc w:val="center"/>
    </w:pPr>
    <w:rPr>
      <w:i/>
      <w:iCs/>
      <w:color w:val="404040" w:themeColor="text1" w:themeTint="BF"/>
    </w:rPr>
  </w:style>
  <w:style w:type="character" w:customStyle="1" w:styleId="CitaCar">
    <w:name w:val="Cita Car"/>
    <w:basedOn w:val="Fuentedeprrafopredeter"/>
    <w:link w:val="Cita"/>
    <w:uiPriority w:val="29"/>
    <w:rsid w:val="0066248E"/>
    <w:rPr>
      <w:i/>
      <w:iCs/>
      <w:color w:val="404040" w:themeColor="text1" w:themeTint="BF"/>
    </w:rPr>
  </w:style>
  <w:style w:type="paragraph" w:styleId="Prrafodelista">
    <w:name w:val="List Paragraph"/>
    <w:basedOn w:val="Normal"/>
    <w:uiPriority w:val="34"/>
    <w:qFormat/>
    <w:rsid w:val="0066248E"/>
    <w:pPr>
      <w:ind w:left="720"/>
      <w:contextualSpacing/>
    </w:pPr>
  </w:style>
  <w:style w:type="character" w:styleId="nfasisintenso">
    <w:name w:val="Intense Emphasis"/>
    <w:basedOn w:val="Fuentedeprrafopredeter"/>
    <w:uiPriority w:val="21"/>
    <w:qFormat/>
    <w:rsid w:val="0066248E"/>
    <w:rPr>
      <w:i/>
      <w:iCs/>
      <w:color w:val="0F4761" w:themeColor="accent1" w:themeShade="BF"/>
    </w:rPr>
  </w:style>
  <w:style w:type="paragraph" w:styleId="Citadestacada">
    <w:name w:val="Intense Quote"/>
    <w:basedOn w:val="Normal"/>
    <w:next w:val="Normal"/>
    <w:link w:val="CitadestacadaCar"/>
    <w:uiPriority w:val="30"/>
    <w:qFormat/>
    <w:rsid w:val="00662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248E"/>
    <w:rPr>
      <w:i/>
      <w:iCs/>
      <w:color w:val="0F4761" w:themeColor="accent1" w:themeShade="BF"/>
    </w:rPr>
  </w:style>
  <w:style w:type="character" w:styleId="Referenciaintensa">
    <w:name w:val="Intense Reference"/>
    <w:basedOn w:val="Fuentedeprrafopredeter"/>
    <w:uiPriority w:val="32"/>
    <w:qFormat/>
    <w:rsid w:val="0066248E"/>
    <w:rPr>
      <w:b/>
      <w:bCs/>
      <w:smallCaps/>
      <w:color w:val="0F4761" w:themeColor="accent1" w:themeShade="BF"/>
      <w:spacing w:val="5"/>
    </w:rPr>
  </w:style>
  <w:style w:type="paragraph" w:styleId="Encabezado">
    <w:name w:val="header"/>
    <w:basedOn w:val="Normal"/>
    <w:link w:val="EncabezadoCar"/>
    <w:uiPriority w:val="99"/>
    <w:unhideWhenUsed/>
    <w:rsid w:val="002446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4607"/>
  </w:style>
  <w:style w:type="paragraph" w:styleId="Piedepgina">
    <w:name w:val="footer"/>
    <w:basedOn w:val="Normal"/>
    <w:link w:val="PiedepginaCar"/>
    <w:uiPriority w:val="99"/>
    <w:unhideWhenUsed/>
    <w:rsid w:val="002446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4607"/>
  </w:style>
  <w:style w:type="character" w:styleId="Hipervnculo">
    <w:name w:val="Hyperlink"/>
    <w:basedOn w:val="Fuentedeprrafopredeter"/>
    <w:uiPriority w:val="99"/>
    <w:unhideWhenUsed/>
    <w:rsid w:val="00CE69CD"/>
    <w:rPr>
      <w:color w:val="467886" w:themeColor="hyperlink"/>
      <w:u w:val="single"/>
    </w:rPr>
  </w:style>
  <w:style w:type="character" w:styleId="Mencinsinresolver">
    <w:name w:val="Unresolved Mention"/>
    <w:basedOn w:val="Fuentedeprrafopredeter"/>
    <w:uiPriority w:val="99"/>
    <w:semiHidden/>
    <w:unhideWhenUsed/>
    <w:rsid w:val="00CE6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ucuta.gov.c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690</Words>
  <Characters>3801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Felipe Ramirez Quintero</dc:creator>
  <cp:keywords/>
  <dc:description/>
  <cp:lastModifiedBy>USER</cp:lastModifiedBy>
  <cp:revision>4</cp:revision>
  <dcterms:created xsi:type="dcterms:W3CDTF">2026-06-19T15:36:00Z</dcterms:created>
  <dcterms:modified xsi:type="dcterms:W3CDTF">2026-06-19T15:38:00Z</dcterms:modified>
</cp:coreProperties>
</file>